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415"/>
        <w:tblW w:w="16019" w:type="dxa"/>
        <w:tblLook w:val="04A0" w:firstRow="1" w:lastRow="0" w:firstColumn="1" w:lastColumn="0" w:noHBand="0" w:noVBand="1"/>
      </w:tblPr>
      <w:tblGrid>
        <w:gridCol w:w="2127"/>
        <w:gridCol w:w="4630"/>
        <w:gridCol w:w="4631"/>
        <w:gridCol w:w="4631"/>
      </w:tblGrid>
      <w:tr w:rsidR="004C2FA1" w14:paraId="4F1C99E2" w14:textId="77777777" w:rsidTr="008517C4">
        <w:trPr>
          <w:trHeight w:val="699"/>
        </w:trPr>
        <w:tc>
          <w:tcPr>
            <w:tcW w:w="16019" w:type="dxa"/>
            <w:gridSpan w:val="4"/>
            <w:shd w:val="clear" w:color="auto" w:fill="538135" w:themeFill="accent6" w:themeFillShade="BF"/>
            <w:vAlign w:val="center"/>
          </w:tcPr>
          <w:p w14:paraId="6F3493F2" w14:textId="77777777" w:rsidR="004C2FA1" w:rsidRPr="008517C4" w:rsidRDefault="00476104" w:rsidP="008517C4">
            <w:pPr>
              <w:jc w:val="center"/>
              <w:rPr>
                <w:rFonts w:ascii="Arial" w:hAnsi="Arial" w:cs="Arial"/>
                <w:b/>
                <w:sz w:val="28"/>
                <w:szCs w:val="28"/>
              </w:rPr>
            </w:pPr>
            <w:bookmarkStart w:id="0" w:name="OLE_LINK2"/>
            <w:r>
              <w:rPr>
                <w:noProof/>
                <w:lang w:eastAsia="en-GB"/>
              </w:rPr>
              <w:drawing>
                <wp:anchor distT="0" distB="0" distL="114300" distR="114300" simplePos="0" relativeHeight="251660288" behindDoc="0" locked="0" layoutInCell="1" allowOverlap="1" wp14:anchorId="6CD20826" wp14:editId="418E95DB">
                  <wp:simplePos x="0" y="0"/>
                  <wp:positionH relativeFrom="column">
                    <wp:posOffset>8950960</wp:posOffset>
                  </wp:positionH>
                  <wp:positionV relativeFrom="paragraph">
                    <wp:posOffset>-144145</wp:posOffset>
                  </wp:positionV>
                  <wp:extent cx="572400" cy="4428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400" cy="442800"/>
                          </a:xfrm>
                          <a:prstGeom prst="rect">
                            <a:avLst/>
                          </a:prstGeom>
                          <a:noFill/>
                        </pic:spPr>
                      </pic:pic>
                    </a:graphicData>
                  </a:graphic>
                  <wp14:sizeRelH relativeFrom="page">
                    <wp14:pctWidth>0</wp14:pctWidth>
                  </wp14:sizeRelH>
                  <wp14:sizeRelV relativeFrom="page">
                    <wp14:pctHeight>0</wp14:pctHeight>
                  </wp14:sizeRelV>
                </wp:anchor>
              </w:drawing>
            </w:r>
            <w:r w:rsidR="009D42B3">
              <w:rPr>
                <w:noProof/>
                <w:lang w:eastAsia="en-GB"/>
              </w:rPr>
              <w:drawing>
                <wp:anchor distT="0" distB="0" distL="114300" distR="114300" simplePos="0" relativeHeight="251658240" behindDoc="0" locked="0" layoutInCell="1" allowOverlap="1" wp14:anchorId="2C9EB84F" wp14:editId="1A978323">
                  <wp:simplePos x="0" y="0"/>
                  <wp:positionH relativeFrom="column">
                    <wp:posOffset>17145</wp:posOffset>
                  </wp:positionH>
                  <wp:positionV relativeFrom="paragraph">
                    <wp:posOffset>3810</wp:posOffset>
                  </wp:positionV>
                  <wp:extent cx="572400" cy="44280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400" cy="442800"/>
                          </a:xfrm>
                          <a:prstGeom prst="rect">
                            <a:avLst/>
                          </a:prstGeom>
                          <a:noFill/>
                        </pic:spPr>
                      </pic:pic>
                    </a:graphicData>
                  </a:graphic>
                  <wp14:sizeRelH relativeFrom="page">
                    <wp14:pctWidth>0</wp14:pctWidth>
                  </wp14:sizeRelH>
                  <wp14:sizeRelV relativeFrom="page">
                    <wp14:pctHeight>0</wp14:pctHeight>
                  </wp14:sizeRelV>
                </wp:anchor>
              </w:drawing>
            </w:r>
            <w:r w:rsidR="004C2FA1" w:rsidRPr="008517C4">
              <w:rPr>
                <w:rFonts w:ascii="Arial" w:hAnsi="Arial" w:cs="Arial"/>
                <w:b/>
                <w:color w:val="FFFFFF" w:themeColor="background1"/>
                <w:sz w:val="28"/>
                <w:szCs w:val="28"/>
              </w:rPr>
              <w:t xml:space="preserve">Whitecross Nursery </w:t>
            </w:r>
            <w:r w:rsidR="00FF75C0" w:rsidRPr="008517C4">
              <w:rPr>
                <w:rFonts w:ascii="Arial" w:hAnsi="Arial" w:cs="Arial"/>
                <w:b/>
                <w:color w:val="FFFFFF" w:themeColor="background1"/>
                <w:sz w:val="28"/>
                <w:szCs w:val="28"/>
              </w:rPr>
              <w:t xml:space="preserve">School  </w:t>
            </w:r>
            <w:r w:rsidR="008517C4" w:rsidRPr="008517C4">
              <w:rPr>
                <w:rFonts w:ascii="Arial" w:hAnsi="Arial" w:cs="Arial"/>
                <w:b/>
                <w:color w:val="FFFFFF" w:themeColor="background1"/>
                <w:sz w:val="28"/>
                <w:szCs w:val="28"/>
              </w:rPr>
              <w:t>Communication &amp; Language</w:t>
            </w:r>
            <w:r w:rsidR="00FF75C0" w:rsidRPr="008517C4">
              <w:rPr>
                <w:rFonts w:ascii="Arial" w:hAnsi="Arial" w:cs="Arial"/>
                <w:b/>
                <w:color w:val="FFFFFF" w:themeColor="background1"/>
                <w:sz w:val="28"/>
                <w:szCs w:val="28"/>
              </w:rPr>
              <w:t xml:space="preserve"> Curriculum</w:t>
            </w:r>
          </w:p>
        </w:tc>
      </w:tr>
      <w:tr w:rsidR="004C2FA1" w14:paraId="30DC5E71" w14:textId="77777777" w:rsidTr="008517C4">
        <w:trPr>
          <w:trHeight w:val="1548"/>
        </w:trPr>
        <w:tc>
          <w:tcPr>
            <w:tcW w:w="2127" w:type="dxa"/>
            <w:shd w:val="clear" w:color="auto" w:fill="E2EFD9" w:themeFill="accent6" w:themeFillTint="33"/>
            <w:vAlign w:val="center"/>
          </w:tcPr>
          <w:p w14:paraId="17484D65" w14:textId="77777777" w:rsidR="004C2FA1" w:rsidRPr="008517C4" w:rsidRDefault="004C2FA1" w:rsidP="008517C4">
            <w:pPr>
              <w:jc w:val="center"/>
              <w:rPr>
                <w:rFonts w:ascii="Arial" w:hAnsi="Arial" w:cs="Arial"/>
                <w:b/>
                <w:sz w:val="18"/>
                <w:szCs w:val="18"/>
              </w:rPr>
            </w:pPr>
            <w:r w:rsidRPr="008517C4">
              <w:rPr>
                <w:rFonts w:ascii="Arial" w:hAnsi="Arial" w:cs="Arial"/>
                <w:b/>
                <w:sz w:val="18"/>
                <w:szCs w:val="18"/>
              </w:rPr>
              <w:t>Intent</w:t>
            </w:r>
          </w:p>
        </w:tc>
        <w:tc>
          <w:tcPr>
            <w:tcW w:w="13892" w:type="dxa"/>
            <w:gridSpan w:val="3"/>
            <w:shd w:val="clear" w:color="auto" w:fill="E2EFD9" w:themeFill="accent6" w:themeFillTint="33"/>
            <w:vAlign w:val="center"/>
          </w:tcPr>
          <w:p w14:paraId="4BCDCA72" w14:textId="77777777" w:rsidR="004C2FA1" w:rsidRPr="008517C4" w:rsidRDefault="008517C4" w:rsidP="008517C4">
            <w:pPr>
              <w:rPr>
                <w:rFonts w:ascii="Arial" w:hAnsi="Arial" w:cs="Arial"/>
                <w:sz w:val="18"/>
                <w:szCs w:val="18"/>
              </w:rPr>
            </w:pPr>
            <w:r w:rsidRPr="008517C4">
              <w:rPr>
                <w:rFonts w:ascii="Arial" w:hAnsi="Arial" w:cs="Arial"/>
                <w:sz w:val="18"/>
                <w:szCs w:val="18"/>
              </w:rPr>
              <w:t>The development of children’s spoken language underpins all seven areas of learning and development. Children’s back and forth interactions from an early age form the foundations for language and cognitive development. The number and quality of the conversations they have with adults and peers throughout the day in a language –rich environment is crucial. By commenting on what children are interested in or doing, and echoing back what they say with new vocabulary added, practitioners will build children’s language effectively. Reading frequently to children, and engaging them with extensive opportunities to use and embed new words in arrange of contexts, will give children the opportunity to thrive. Through conversations, storytelling and role play, where children share their ideas with support and modelling from their teacher, and sensitive questioning that invites them to elaborate, children become comfortable using a rich range of vocabulary and language structures.</w:t>
            </w:r>
          </w:p>
        </w:tc>
      </w:tr>
      <w:tr w:rsidR="008517C4" w14:paraId="1817DCB6" w14:textId="77777777" w:rsidTr="008517C4">
        <w:trPr>
          <w:trHeight w:val="845"/>
        </w:trPr>
        <w:tc>
          <w:tcPr>
            <w:tcW w:w="2127" w:type="dxa"/>
            <w:shd w:val="clear" w:color="auto" w:fill="F2F2F2" w:themeFill="background1" w:themeFillShade="F2"/>
            <w:vAlign w:val="center"/>
          </w:tcPr>
          <w:p w14:paraId="111FE587" w14:textId="77777777" w:rsidR="008517C4" w:rsidRPr="008517C4" w:rsidRDefault="008517C4" w:rsidP="008517C4">
            <w:pPr>
              <w:jc w:val="center"/>
              <w:rPr>
                <w:rFonts w:ascii="Arial" w:hAnsi="Arial" w:cs="Arial"/>
                <w:b/>
                <w:sz w:val="18"/>
                <w:szCs w:val="18"/>
              </w:rPr>
            </w:pPr>
            <w:r w:rsidRPr="008517C4">
              <w:rPr>
                <w:rFonts w:ascii="Arial" w:hAnsi="Arial" w:cs="Arial"/>
                <w:b/>
                <w:sz w:val="18"/>
                <w:szCs w:val="18"/>
              </w:rPr>
              <w:t>Key Vocabulary</w:t>
            </w:r>
          </w:p>
        </w:tc>
        <w:tc>
          <w:tcPr>
            <w:tcW w:w="13892" w:type="dxa"/>
            <w:gridSpan w:val="3"/>
            <w:shd w:val="clear" w:color="auto" w:fill="F2F2F2" w:themeFill="background1" w:themeFillShade="F2"/>
            <w:vAlign w:val="center"/>
          </w:tcPr>
          <w:p w14:paraId="0FB522AB" w14:textId="77777777" w:rsidR="008517C4" w:rsidRPr="008517C4" w:rsidRDefault="008517C4" w:rsidP="008517C4">
            <w:pPr>
              <w:rPr>
                <w:rFonts w:ascii="Arial" w:hAnsi="Arial" w:cs="Arial"/>
                <w:sz w:val="18"/>
                <w:szCs w:val="18"/>
              </w:rPr>
            </w:pPr>
            <w:r w:rsidRPr="008517C4">
              <w:rPr>
                <w:rFonts w:ascii="Arial" w:hAnsi="Arial" w:cs="Arial"/>
                <w:sz w:val="18"/>
                <w:szCs w:val="18"/>
              </w:rPr>
              <w:t xml:space="preserve">Communication, language, talking, gesture, Makaton, sign of the week, use your words, use your signs, show me, practice, listen, instruction, songs, rhymes, words, story, play, take turns, share </w:t>
            </w:r>
          </w:p>
          <w:p w14:paraId="32FFBD8F" w14:textId="77777777" w:rsidR="008517C4" w:rsidRPr="008517C4" w:rsidRDefault="00AB4831" w:rsidP="008517C4">
            <w:pPr>
              <w:textAlignment w:val="baseline"/>
              <w:rPr>
                <w:rFonts w:ascii="Arial" w:eastAsia="Times New Roman" w:hAnsi="Arial" w:cs="Arial"/>
                <w:i/>
                <w:sz w:val="18"/>
                <w:szCs w:val="18"/>
                <w:lang w:eastAsia="en-GB"/>
              </w:rPr>
            </w:pPr>
            <w:r>
              <w:rPr>
                <w:rFonts w:ascii="Arial" w:hAnsi="Arial" w:cs="Arial"/>
                <w:i/>
                <w:sz w:val="18"/>
                <w:szCs w:val="18"/>
              </w:rPr>
              <w:t xml:space="preserve">(Please </w:t>
            </w:r>
            <w:r w:rsidR="008517C4" w:rsidRPr="008517C4">
              <w:rPr>
                <w:rFonts w:ascii="Arial" w:hAnsi="Arial" w:cs="Arial"/>
                <w:i/>
                <w:sz w:val="18"/>
                <w:szCs w:val="18"/>
              </w:rPr>
              <w:t>also see our language rich Whitecross words</w:t>
            </w:r>
            <w:r>
              <w:rPr>
                <w:rFonts w:ascii="Arial" w:hAnsi="Arial" w:cs="Arial"/>
                <w:i/>
                <w:sz w:val="18"/>
                <w:szCs w:val="18"/>
              </w:rPr>
              <w:t>.)</w:t>
            </w:r>
          </w:p>
        </w:tc>
      </w:tr>
      <w:tr w:rsidR="008517C4" w14:paraId="2E2B2CE5" w14:textId="77777777" w:rsidTr="008517C4">
        <w:trPr>
          <w:trHeight w:val="6987"/>
        </w:trPr>
        <w:tc>
          <w:tcPr>
            <w:tcW w:w="2127" w:type="dxa"/>
            <w:shd w:val="clear" w:color="auto" w:fill="E2EFD9" w:themeFill="accent6" w:themeFillTint="33"/>
          </w:tcPr>
          <w:p w14:paraId="667AE9B6" w14:textId="77777777" w:rsidR="008517C4" w:rsidRPr="008517C4" w:rsidRDefault="008517C4" w:rsidP="008517C4">
            <w:pPr>
              <w:rPr>
                <w:rFonts w:ascii="Arial" w:hAnsi="Arial" w:cs="Arial"/>
                <w:sz w:val="18"/>
                <w:szCs w:val="18"/>
              </w:rPr>
            </w:pPr>
          </w:p>
          <w:p w14:paraId="1464E2C8" w14:textId="77777777" w:rsidR="008517C4" w:rsidRPr="008517C4" w:rsidRDefault="008517C4" w:rsidP="008517C4">
            <w:pPr>
              <w:jc w:val="center"/>
              <w:rPr>
                <w:rFonts w:ascii="Arial" w:hAnsi="Arial" w:cs="Arial"/>
                <w:b/>
                <w:sz w:val="18"/>
                <w:szCs w:val="18"/>
              </w:rPr>
            </w:pPr>
            <w:r w:rsidRPr="008517C4">
              <w:rPr>
                <w:rFonts w:ascii="Arial" w:hAnsi="Arial" w:cs="Arial"/>
                <w:b/>
                <w:sz w:val="18"/>
                <w:szCs w:val="18"/>
              </w:rPr>
              <w:t>Implementation</w:t>
            </w:r>
          </w:p>
          <w:p w14:paraId="7D5CC933" w14:textId="77777777" w:rsidR="008517C4" w:rsidRDefault="008517C4" w:rsidP="008517C4">
            <w:pPr>
              <w:rPr>
                <w:rFonts w:ascii="Arial" w:hAnsi="Arial" w:cs="Arial"/>
                <w:sz w:val="18"/>
                <w:szCs w:val="18"/>
              </w:rPr>
            </w:pPr>
          </w:p>
          <w:p w14:paraId="6B9FB2B8" w14:textId="77777777" w:rsidR="008517C4" w:rsidRPr="008517C4" w:rsidRDefault="008517C4" w:rsidP="008517C4">
            <w:pPr>
              <w:rPr>
                <w:rFonts w:ascii="Arial" w:hAnsi="Arial" w:cs="Arial"/>
                <w:sz w:val="18"/>
                <w:szCs w:val="18"/>
              </w:rPr>
            </w:pPr>
            <w:r w:rsidRPr="008517C4">
              <w:rPr>
                <w:rFonts w:ascii="Arial" w:hAnsi="Arial" w:cs="Arial"/>
                <w:sz w:val="18"/>
                <w:szCs w:val="18"/>
              </w:rPr>
              <w:t>Communication and language is developed throughout the year through:-</w:t>
            </w:r>
          </w:p>
          <w:p w14:paraId="68982D29"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 xml:space="preserve">High quality interaction’s </w:t>
            </w:r>
          </w:p>
          <w:p w14:paraId="31096286"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 xml:space="preserve">Quality Text both fiction and non-fiction </w:t>
            </w:r>
          </w:p>
          <w:p w14:paraId="50158658"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 xml:space="preserve">Group discussions </w:t>
            </w:r>
          </w:p>
          <w:p w14:paraId="64CFCBBD"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 xml:space="preserve">Sharing circles </w:t>
            </w:r>
          </w:p>
          <w:p w14:paraId="12C7EF79"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 xml:space="preserve">PSED times </w:t>
            </w:r>
          </w:p>
          <w:p w14:paraId="1B3AB852"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Stories</w:t>
            </w:r>
          </w:p>
          <w:p w14:paraId="36BDE094"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 xml:space="preserve">Singing </w:t>
            </w:r>
          </w:p>
          <w:p w14:paraId="2D5D6FD9"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 xml:space="preserve">Speech and language interventions </w:t>
            </w:r>
          </w:p>
          <w:p w14:paraId="7498A8C0"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Makaton sign of the week</w:t>
            </w:r>
          </w:p>
          <w:p w14:paraId="1F8ED48C"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Nursery rhyme of the week</w:t>
            </w:r>
          </w:p>
          <w:p w14:paraId="457CD002"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 xml:space="preserve">Squiggle </w:t>
            </w:r>
          </w:p>
          <w:p w14:paraId="6044ABB3"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Curiosity cube</w:t>
            </w:r>
          </w:p>
          <w:p w14:paraId="457BDD1A"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Deconstructed role play</w:t>
            </w:r>
          </w:p>
          <w:p w14:paraId="3BDDF793"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 xml:space="preserve">Snack time </w:t>
            </w:r>
          </w:p>
          <w:p w14:paraId="4D6FA708" w14:textId="77777777" w:rsidR="008517C4" w:rsidRPr="008517C4" w:rsidRDefault="008517C4" w:rsidP="008517C4">
            <w:pPr>
              <w:pStyle w:val="ListParagraph"/>
              <w:numPr>
                <w:ilvl w:val="0"/>
                <w:numId w:val="3"/>
              </w:numPr>
              <w:spacing w:after="0" w:line="240" w:lineRule="auto"/>
              <w:rPr>
                <w:rFonts w:ascii="Arial" w:hAnsi="Arial" w:cs="Arial"/>
                <w:sz w:val="18"/>
                <w:szCs w:val="18"/>
              </w:rPr>
            </w:pPr>
            <w:r w:rsidRPr="008517C4">
              <w:rPr>
                <w:rFonts w:ascii="Arial" w:hAnsi="Arial" w:cs="Arial"/>
                <w:sz w:val="18"/>
                <w:szCs w:val="18"/>
              </w:rPr>
              <w:t xml:space="preserve">Dinner time </w:t>
            </w:r>
          </w:p>
          <w:p w14:paraId="4F67B592" w14:textId="77777777" w:rsidR="008517C4" w:rsidRPr="008517C4" w:rsidRDefault="008517C4" w:rsidP="008517C4">
            <w:pPr>
              <w:rPr>
                <w:rFonts w:ascii="Arial" w:hAnsi="Arial" w:cs="Arial"/>
                <w:sz w:val="18"/>
                <w:szCs w:val="18"/>
              </w:rPr>
            </w:pPr>
          </w:p>
          <w:p w14:paraId="58AD8FCF" w14:textId="77777777" w:rsidR="008517C4" w:rsidRPr="008517C4" w:rsidRDefault="008517C4" w:rsidP="008517C4">
            <w:pPr>
              <w:rPr>
                <w:rFonts w:ascii="Arial" w:hAnsi="Arial" w:cs="Arial"/>
                <w:sz w:val="18"/>
                <w:szCs w:val="18"/>
              </w:rPr>
            </w:pPr>
            <w:r w:rsidRPr="008517C4">
              <w:rPr>
                <w:rFonts w:ascii="Arial" w:hAnsi="Arial" w:cs="Arial"/>
                <w:sz w:val="18"/>
                <w:szCs w:val="18"/>
              </w:rPr>
              <w:t>Daily story time</w:t>
            </w:r>
            <w:r>
              <w:rPr>
                <w:rFonts w:ascii="Arial" w:hAnsi="Arial" w:cs="Arial"/>
                <w:sz w:val="18"/>
                <w:szCs w:val="18"/>
              </w:rPr>
              <w:t>s</w:t>
            </w:r>
            <w:r w:rsidRPr="008517C4">
              <w:rPr>
                <w:rFonts w:ascii="Arial" w:hAnsi="Arial" w:cs="Arial"/>
                <w:sz w:val="18"/>
                <w:szCs w:val="18"/>
              </w:rPr>
              <w:t xml:space="preserve"> using high quality text</w:t>
            </w:r>
            <w:r>
              <w:rPr>
                <w:rFonts w:ascii="Arial" w:hAnsi="Arial" w:cs="Arial"/>
                <w:sz w:val="18"/>
                <w:szCs w:val="18"/>
              </w:rPr>
              <w:t>s</w:t>
            </w:r>
          </w:p>
        </w:tc>
        <w:tc>
          <w:tcPr>
            <w:tcW w:w="4630" w:type="dxa"/>
            <w:shd w:val="clear" w:color="auto" w:fill="FFF2CC" w:themeFill="accent4" w:themeFillTint="33"/>
          </w:tcPr>
          <w:p w14:paraId="1572D603"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Welcome to Nursery </w:t>
            </w:r>
          </w:p>
          <w:p w14:paraId="7188F473"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Settling in activities </w:t>
            </w:r>
          </w:p>
          <w:p w14:paraId="2E16C4EF"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Explore all areas of nursery using rich language to model expectations </w:t>
            </w:r>
          </w:p>
          <w:p w14:paraId="3A8DC0B1"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Children talking about familiar experiences </w:t>
            </w:r>
          </w:p>
          <w:p w14:paraId="6B262528"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Follow simple instructions, for example ‘hang your coat up’</w:t>
            </w:r>
          </w:p>
          <w:p w14:paraId="316C6E16"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Develop relationships with both adults and children</w:t>
            </w:r>
          </w:p>
          <w:p w14:paraId="27C813E4"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Introduce new vocabulary each week </w:t>
            </w:r>
          </w:p>
          <w:p w14:paraId="41AFD9C2"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Model talk routines throughout the day. For example, Good Morning, Good afternoon </w:t>
            </w:r>
          </w:p>
          <w:p w14:paraId="1241CFB4"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Learn songs, rhymes and poems </w:t>
            </w:r>
          </w:p>
          <w:p w14:paraId="01C9F945"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Enjoy listening to stories </w:t>
            </w:r>
          </w:p>
          <w:p w14:paraId="3C6C8D7B"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Introduce new vocabulary each week</w:t>
            </w:r>
          </w:p>
          <w:p w14:paraId="2B7C711E"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Children talk about special occasions and family routines</w:t>
            </w:r>
          </w:p>
          <w:p w14:paraId="600C56AD"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Enjoy listening to longer stories and begins to remember much of what happens</w:t>
            </w:r>
          </w:p>
          <w:p w14:paraId="54660F53"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Children| begin to able to talk about familiar books </w:t>
            </w:r>
          </w:p>
          <w:p w14:paraId="6A66D33E"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Learn songs, rhymes and poems</w:t>
            </w:r>
          </w:p>
          <w:p w14:paraId="05C2E78A"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Puppets and suitable resources for children to make up stories</w:t>
            </w:r>
          </w:p>
          <w:p w14:paraId="21394FD5"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Learn Christmas songs for Christmas concert</w:t>
            </w:r>
          </w:p>
          <w:p w14:paraId="2EB868C9"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Follow simple instructions </w:t>
            </w:r>
          </w:p>
          <w:p w14:paraId="7398A8A7"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Develop skills on how to listen carefully and know why listening is important</w:t>
            </w:r>
          </w:p>
          <w:p w14:paraId="428B135E"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Begin to start a conversation with an adult or a friend</w:t>
            </w:r>
          </w:p>
          <w:p w14:paraId="6C72CAFF"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Children start to use talk to organise themselves and their play</w:t>
            </w:r>
          </w:p>
        </w:tc>
        <w:tc>
          <w:tcPr>
            <w:tcW w:w="4631" w:type="dxa"/>
            <w:shd w:val="clear" w:color="auto" w:fill="FBE4D5" w:themeFill="accent2" w:themeFillTint="33"/>
          </w:tcPr>
          <w:p w14:paraId="0AE28E47"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Introduce new vocabulary each week</w:t>
            </w:r>
          </w:p>
          <w:p w14:paraId="3078F42A"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Children to talk about familiar experiences </w:t>
            </w:r>
          </w:p>
          <w:p w14:paraId="2B3BB5D8"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Enjoy listening to longer stories, remembering much of what happens </w:t>
            </w:r>
          </w:p>
          <w:p w14:paraId="2CBBD6FE"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Children begin to make simple predictions of what might happen next in a story</w:t>
            </w:r>
          </w:p>
          <w:p w14:paraId="3D33989A"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Continue to develop a repertoire of songs and rhymes </w:t>
            </w:r>
          </w:p>
          <w:p w14:paraId="7F722CF9"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Children to build on their skills on using talk to organise themselves and  their play</w:t>
            </w:r>
          </w:p>
          <w:p w14:paraId="5A345546"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Follow instructions and begin to understand a question or instruction has two parts: ‘Get your coat and wait at the door’</w:t>
            </w:r>
          </w:p>
          <w:p w14:paraId="24B85259"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Encourage children to ask questions to find out more </w:t>
            </w:r>
          </w:p>
          <w:p w14:paraId="4E3BD3BB"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Begin to describe events using simple language like Lunar New year, pancake day</w:t>
            </w:r>
          </w:p>
          <w:p w14:paraId="68369E00"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Puppets and suitable resources for children to make up stories</w:t>
            </w:r>
          </w:p>
          <w:p w14:paraId="12584383" w14:textId="77777777" w:rsidR="008517C4" w:rsidRPr="008517C4" w:rsidRDefault="008517C4" w:rsidP="008517C4">
            <w:pPr>
              <w:jc w:val="center"/>
              <w:rPr>
                <w:rFonts w:ascii="Arial" w:hAnsi="Arial" w:cs="Arial"/>
                <w:sz w:val="18"/>
                <w:szCs w:val="18"/>
              </w:rPr>
            </w:pPr>
          </w:p>
          <w:p w14:paraId="5F22C670"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Children to begin to recall with confidence stories they have listened to</w:t>
            </w:r>
          </w:p>
          <w:p w14:paraId="5423AC53"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Children make simple predictions of what might happen next in a story</w:t>
            </w:r>
          </w:p>
          <w:p w14:paraId="7796CCBB" w14:textId="77777777" w:rsidR="008517C4" w:rsidRPr="008517C4" w:rsidRDefault="008517C4" w:rsidP="008517C4">
            <w:pPr>
              <w:rPr>
                <w:rFonts w:ascii="Arial" w:hAnsi="Arial" w:cs="Arial"/>
                <w:sz w:val="18"/>
                <w:szCs w:val="18"/>
              </w:rPr>
            </w:pPr>
            <w:r w:rsidRPr="008517C4">
              <w:rPr>
                <w:rFonts w:ascii="Arial" w:hAnsi="Arial" w:cs="Arial"/>
                <w:sz w:val="18"/>
                <w:szCs w:val="18"/>
              </w:rPr>
              <w:t xml:space="preserve">Using props, puppets etc. children make up stories </w:t>
            </w:r>
          </w:p>
          <w:p w14:paraId="6F39274E"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Children happily retell familiar stories </w:t>
            </w:r>
          </w:p>
          <w:p w14:paraId="7EA5C176"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Begin to express their thoughts and feelings with rich vocabulary</w:t>
            </w:r>
          </w:p>
          <w:p w14:paraId="37FBBBE3"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 Ask why and how questions to develop knowledge and understanding </w:t>
            </w:r>
          </w:p>
          <w:p w14:paraId="4F63BC38"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Have conversations with adults and children </w:t>
            </w:r>
          </w:p>
          <w:p w14:paraId="4038987F"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Continue to develop a repertoire of songs and rhymes</w:t>
            </w:r>
          </w:p>
          <w:p w14:paraId="563F060B" w14:textId="77777777" w:rsidR="008517C4" w:rsidRPr="008517C4" w:rsidRDefault="008517C4" w:rsidP="008517C4">
            <w:pPr>
              <w:jc w:val="center"/>
              <w:rPr>
                <w:rFonts w:ascii="Arial" w:hAnsi="Arial" w:cs="Arial"/>
                <w:sz w:val="18"/>
                <w:szCs w:val="18"/>
              </w:rPr>
            </w:pPr>
          </w:p>
          <w:p w14:paraId="4AD7BFE4" w14:textId="77777777" w:rsidR="008517C4" w:rsidRPr="008517C4" w:rsidRDefault="008517C4" w:rsidP="008517C4">
            <w:pPr>
              <w:rPr>
                <w:rFonts w:ascii="Arial" w:hAnsi="Arial" w:cs="Arial"/>
                <w:sz w:val="18"/>
                <w:szCs w:val="18"/>
              </w:rPr>
            </w:pPr>
          </w:p>
          <w:p w14:paraId="51E97D3F" w14:textId="77777777" w:rsidR="008517C4" w:rsidRPr="008517C4" w:rsidRDefault="008517C4" w:rsidP="008517C4">
            <w:pPr>
              <w:jc w:val="center"/>
              <w:rPr>
                <w:rFonts w:ascii="Arial" w:hAnsi="Arial" w:cs="Arial"/>
                <w:sz w:val="18"/>
                <w:szCs w:val="18"/>
              </w:rPr>
            </w:pPr>
          </w:p>
          <w:p w14:paraId="0576B78D" w14:textId="77777777" w:rsidR="008517C4" w:rsidRPr="008517C4" w:rsidRDefault="008517C4" w:rsidP="008517C4">
            <w:pPr>
              <w:rPr>
                <w:rFonts w:ascii="Arial" w:hAnsi="Arial" w:cs="Arial"/>
                <w:sz w:val="18"/>
                <w:szCs w:val="18"/>
              </w:rPr>
            </w:pPr>
          </w:p>
        </w:tc>
        <w:tc>
          <w:tcPr>
            <w:tcW w:w="4631" w:type="dxa"/>
            <w:shd w:val="clear" w:color="auto" w:fill="DEEAF6" w:themeFill="accent1" w:themeFillTint="33"/>
          </w:tcPr>
          <w:p w14:paraId="366C51A6"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Introduce new vocabulary each week</w:t>
            </w:r>
          </w:p>
          <w:p w14:paraId="74851455"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I can talk confidently about familiar events and things I have learnt about</w:t>
            </w:r>
          </w:p>
          <w:p w14:paraId="306A0893"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Children to begin to recall with confidence stories they have listened to</w:t>
            </w:r>
          </w:p>
          <w:p w14:paraId="6ED7C771"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Children make simple predictions of what might happen next in a story and simply explain thoughts to why</w:t>
            </w:r>
          </w:p>
          <w:p w14:paraId="670B244C"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I can listen carefully and follow 2 part instructions with confidence</w:t>
            </w:r>
          </w:p>
          <w:p w14:paraId="317C6754"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 I confidently ask questions to develop knowledge and understanding </w:t>
            </w:r>
          </w:p>
          <w:p w14:paraId="0C94D4B1"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Begin to make up their own stories </w:t>
            </w:r>
          </w:p>
          <w:p w14:paraId="44B02F3E" w14:textId="77777777" w:rsidR="008517C4" w:rsidRPr="008517C4" w:rsidRDefault="008517C4" w:rsidP="008517C4">
            <w:pPr>
              <w:jc w:val="center"/>
              <w:rPr>
                <w:rFonts w:ascii="Arial" w:hAnsi="Arial" w:cs="Arial"/>
                <w:sz w:val="18"/>
                <w:szCs w:val="18"/>
              </w:rPr>
            </w:pPr>
          </w:p>
          <w:p w14:paraId="3611260E" w14:textId="77777777" w:rsidR="008517C4" w:rsidRPr="008517C4" w:rsidRDefault="008517C4" w:rsidP="008517C4">
            <w:pPr>
              <w:jc w:val="center"/>
              <w:rPr>
                <w:rFonts w:ascii="Arial" w:hAnsi="Arial" w:cs="Arial"/>
                <w:sz w:val="18"/>
                <w:szCs w:val="18"/>
              </w:rPr>
            </w:pPr>
          </w:p>
          <w:p w14:paraId="4AEDBA55"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I can listen to longer stories and describe what happens</w:t>
            </w:r>
          </w:p>
          <w:p w14:paraId="1D122127"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I can make predictions of what might happen next in a story and simply explain my thoughts to why</w:t>
            </w:r>
          </w:p>
          <w:p w14:paraId="5B8E9993"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I can use a wider vocabulary</w:t>
            </w:r>
          </w:p>
          <w:p w14:paraId="08A69664"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I understand ‘why’ questions, like: ‘why do you think the caterpillar got so fat?’</w:t>
            </w:r>
          </w:p>
          <w:p w14:paraId="79E422B6"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I can sing a large repertoire of songs </w:t>
            </w:r>
          </w:p>
          <w:p w14:paraId="40149CA6"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I know many rhymes, be able to talk about familiar books and be able to tell a long story</w:t>
            </w:r>
          </w:p>
          <w:p w14:paraId="71CA61F2"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I can use longer sentences of four and six words</w:t>
            </w:r>
          </w:p>
          <w:p w14:paraId="7C1C725A"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 xml:space="preserve">I can start a conversation with an adult or a friend and continue it for many turns </w:t>
            </w:r>
          </w:p>
          <w:p w14:paraId="6A5BE732" w14:textId="77777777" w:rsidR="008517C4" w:rsidRPr="008517C4" w:rsidRDefault="008517C4" w:rsidP="008517C4">
            <w:pPr>
              <w:jc w:val="center"/>
              <w:rPr>
                <w:rFonts w:ascii="Arial" w:hAnsi="Arial" w:cs="Arial"/>
                <w:sz w:val="18"/>
                <w:szCs w:val="18"/>
              </w:rPr>
            </w:pPr>
            <w:r w:rsidRPr="008517C4">
              <w:rPr>
                <w:rFonts w:ascii="Arial" w:hAnsi="Arial" w:cs="Arial"/>
                <w:sz w:val="18"/>
                <w:szCs w:val="18"/>
              </w:rPr>
              <w:t>I can use talk to organise themselves and their play</w:t>
            </w:r>
          </w:p>
          <w:p w14:paraId="62C156C8" w14:textId="77777777" w:rsidR="008517C4" w:rsidRPr="008517C4" w:rsidRDefault="008517C4" w:rsidP="008517C4">
            <w:pPr>
              <w:jc w:val="center"/>
              <w:rPr>
                <w:rFonts w:ascii="Arial" w:hAnsi="Arial" w:cs="Arial"/>
                <w:sz w:val="18"/>
                <w:szCs w:val="18"/>
              </w:rPr>
            </w:pPr>
          </w:p>
        </w:tc>
      </w:tr>
      <w:bookmarkEnd w:id="0"/>
    </w:tbl>
    <w:p w14:paraId="496618CB" w14:textId="77777777" w:rsidR="00C64281" w:rsidRDefault="00C64281"/>
    <w:sectPr w:rsidR="00C64281" w:rsidSect="008517C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9633B"/>
    <w:multiLevelType w:val="hybridMultilevel"/>
    <w:tmpl w:val="571C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04FED"/>
    <w:multiLevelType w:val="hybridMultilevel"/>
    <w:tmpl w:val="73089D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D2C052E"/>
    <w:multiLevelType w:val="multilevel"/>
    <w:tmpl w:val="DF74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0120520">
    <w:abstractNumId w:val="2"/>
  </w:num>
  <w:num w:numId="2" w16cid:durableId="1248229230">
    <w:abstractNumId w:val="1"/>
  </w:num>
  <w:num w:numId="3" w16cid:durableId="2019111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687"/>
    <w:rsid w:val="00235796"/>
    <w:rsid w:val="002E33AB"/>
    <w:rsid w:val="00476104"/>
    <w:rsid w:val="004C2FA1"/>
    <w:rsid w:val="008517C4"/>
    <w:rsid w:val="009D42B3"/>
    <w:rsid w:val="00AB4831"/>
    <w:rsid w:val="00AB5D77"/>
    <w:rsid w:val="00C64281"/>
    <w:rsid w:val="00DA1687"/>
    <w:rsid w:val="00FF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AE2"/>
  <w15:chartTrackingRefBased/>
  <w15:docId w15:val="{23C37BD0-6F9A-4DFA-999D-72B52DEFA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2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2FA1"/>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747</Words>
  <Characters>4260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Fitzpatrick</dc:creator>
  <cp:keywords/>
  <dc:description/>
  <cp:lastModifiedBy>Fitzpatrick, Stuart (GE Vernova)</cp:lastModifiedBy>
  <cp:revision>9</cp:revision>
  <dcterms:created xsi:type="dcterms:W3CDTF">2023-12-13T07:06:00Z</dcterms:created>
  <dcterms:modified xsi:type="dcterms:W3CDTF">2024-01-16T11:29:00Z</dcterms:modified>
</cp:coreProperties>
</file>